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5D" w:rsidRPr="006A0B73" w:rsidRDefault="00AE6C7E" w:rsidP="00B42C5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A0B73">
        <w:rPr>
          <w:rFonts w:ascii="Times New Roman" w:hAnsi="Times New Roman" w:cs="Times New Roman"/>
          <w:b/>
          <w:sz w:val="32"/>
          <w:szCs w:val="28"/>
        </w:rPr>
        <w:t>Параметры корректировки по услуге «Отопление</w:t>
      </w:r>
      <w:r w:rsidR="00B42C5D" w:rsidRPr="006A0B73">
        <w:rPr>
          <w:rFonts w:ascii="Times New Roman" w:hAnsi="Times New Roman" w:cs="Times New Roman"/>
          <w:b/>
          <w:sz w:val="32"/>
          <w:szCs w:val="28"/>
        </w:rPr>
        <w:t>»</w:t>
      </w:r>
    </w:p>
    <w:p w:rsidR="00B42C5D" w:rsidRPr="006A0B73" w:rsidRDefault="00B40D0B" w:rsidP="00B42C5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Отопительный период октябрь</w:t>
      </w:r>
      <w:r w:rsidR="00C3040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AE6C7E" w:rsidRPr="006A0B73">
        <w:rPr>
          <w:rFonts w:ascii="Times New Roman" w:hAnsi="Times New Roman" w:cs="Times New Roman"/>
          <w:b/>
          <w:sz w:val="32"/>
          <w:szCs w:val="24"/>
        </w:rPr>
        <w:t>2015 – май 2016</w:t>
      </w:r>
      <w:r w:rsidR="00B42C5D" w:rsidRPr="006A0B73">
        <w:rPr>
          <w:rFonts w:ascii="Times New Roman" w:hAnsi="Times New Roman" w:cs="Times New Roman"/>
          <w:b/>
          <w:sz w:val="32"/>
          <w:szCs w:val="24"/>
        </w:rPr>
        <w:t xml:space="preserve"> года</w:t>
      </w:r>
    </w:p>
    <w:p w:rsidR="005335A9" w:rsidRPr="006A0B73" w:rsidRDefault="00B931D8" w:rsidP="00B42C5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По адресу: ул. Трактористов, д.4</w:t>
      </w:r>
    </w:p>
    <w:tbl>
      <w:tblPr>
        <w:tblW w:w="11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1"/>
        <w:gridCol w:w="1885"/>
        <w:gridCol w:w="2201"/>
        <w:gridCol w:w="2010"/>
        <w:gridCol w:w="2010"/>
        <w:gridCol w:w="1935"/>
      </w:tblGrid>
      <w:tr w:rsidR="004D1F3A" w:rsidRPr="006A0B73" w:rsidTr="00C81758">
        <w:trPr>
          <w:trHeight w:val="873"/>
          <w:jc w:val="center"/>
        </w:trPr>
        <w:tc>
          <w:tcPr>
            <w:tcW w:w="1111" w:type="dxa"/>
            <w:shd w:val="clear" w:color="auto" w:fill="auto"/>
            <w:vAlign w:val="center"/>
            <w:hideMark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B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Месяц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B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Расход </w:t>
            </w:r>
            <w:proofErr w:type="gramStart"/>
            <w:r w:rsidRPr="006A0B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proofErr w:type="gramEnd"/>
            <w:r w:rsidRPr="006A0B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B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коллективному</w:t>
            </w:r>
          </w:p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B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приборам учета (Гкал)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B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Общая площадь всех помещений (</w:t>
            </w:r>
            <w:proofErr w:type="spellStart"/>
            <w:r w:rsidRPr="006A0B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квартиры+офисы</w:t>
            </w:r>
            <w:proofErr w:type="spellEnd"/>
            <w:r w:rsidRPr="006A0B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 м</w:t>
            </w:r>
            <w:proofErr w:type="gramStart"/>
            <w:r w:rsidRPr="006A0B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proofErr w:type="gramEnd"/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0B73">
              <w:rPr>
                <w:rFonts w:ascii="Times New Roman" w:eastAsia="Times New Roman" w:hAnsi="Times New Roman" w:cs="Times New Roman"/>
                <w:b/>
                <w:color w:val="000000"/>
              </w:rPr>
              <w:t>Тариф на отопление, руб. за 1 Гкал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0B7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Начислено </w:t>
            </w:r>
          </w:p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0B73">
              <w:rPr>
                <w:rFonts w:ascii="Times New Roman" w:eastAsia="Times New Roman" w:hAnsi="Times New Roman" w:cs="Times New Roman"/>
                <w:b/>
                <w:color w:val="000000"/>
              </w:rPr>
              <w:t>собственни</w:t>
            </w:r>
            <w:r w:rsidR="009D15AD">
              <w:rPr>
                <w:rFonts w:ascii="Times New Roman" w:eastAsia="Times New Roman" w:hAnsi="Times New Roman" w:cs="Times New Roman"/>
                <w:b/>
                <w:color w:val="000000"/>
              </w:rPr>
              <w:t>кам всех помещений по среднемесячному объему потребления тепловой энергии за предыдущий год</w:t>
            </w:r>
            <w:r w:rsidRPr="006A0B7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(Гкал)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B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 теплоносителя на нагрев воды для нужд горячего водоснабжения (Гкал)</w:t>
            </w:r>
          </w:p>
        </w:tc>
      </w:tr>
      <w:tr w:rsidR="004D1F3A" w:rsidRPr="006A0B73" w:rsidTr="00C81758">
        <w:trPr>
          <w:trHeight w:val="291"/>
          <w:jc w:val="center"/>
        </w:trPr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4D1F3A" w:rsidRPr="006A0B73" w:rsidRDefault="009C4CB1" w:rsidP="00CD363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3A" w:rsidRPr="006A0B73" w:rsidRDefault="00380BEF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3A" w:rsidRPr="006A0B73" w:rsidRDefault="00380BEF" w:rsidP="00380B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15531,15</w:t>
            </w:r>
          </w:p>
        </w:tc>
        <w:tc>
          <w:tcPr>
            <w:tcW w:w="2010" w:type="dxa"/>
            <w:vMerge w:val="restart"/>
            <w:vAlign w:val="center"/>
          </w:tcPr>
          <w:p w:rsidR="004D1F3A" w:rsidRPr="006A0B73" w:rsidRDefault="004D1F3A" w:rsidP="004D1F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0B73">
              <w:rPr>
                <w:rFonts w:ascii="Times New Roman" w:eastAsia="Times New Roman" w:hAnsi="Times New Roman" w:cs="Times New Roman"/>
                <w:color w:val="000000"/>
              </w:rPr>
              <w:t>1579,18</w:t>
            </w:r>
          </w:p>
        </w:tc>
        <w:tc>
          <w:tcPr>
            <w:tcW w:w="2010" w:type="dxa"/>
            <w:vMerge w:val="restart"/>
            <w:vAlign w:val="center"/>
          </w:tcPr>
          <w:p w:rsidR="004D1F3A" w:rsidRPr="006A0B73" w:rsidRDefault="0041156E" w:rsidP="009C6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2181,031</w:t>
            </w:r>
          </w:p>
        </w:tc>
        <w:tc>
          <w:tcPr>
            <w:tcW w:w="1935" w:type="dxa"/>
            <w:vMerge w:val="restart"/>
            <w:shd w:val="clear" w:color="auto" w:fill="auto"/>
            <w:noWrap/>
            <w:vAlign w:val="center"/>
            <w:hideMark/>
          </w:tcPr>
          <w:p w:rsidR="004D1F3A" w:rsidRPr="006A0B73" w:rsidRDefault="009C4CB1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="00380BEF">
              <w:rPr>
                <w:rFonts w:ascii="Times New Roman" w:eastAsia="Times New Roman" w:hAnsi="Times New Roman" w:cs="Times New Roman"/>
                <w:bCs/>
                <w:color w:val="000000"/>
              </w:rPr>
              <w:t>47,37</w:t>
            </w:r>
          </w:p>
        </w:tc>
      </w:tr>
      <w:tr w:rsidR="009C4CB1" w:rsidRPr="006A0B73" w:rsidTr="00C81758">
        <w:trPr>
          <w:trHeight w:val="291"/>
          <w:jc w:val="center"/>
        </w:trPr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9C4CB1" w:rsidRPr="006A0B73" w:rsidRDefault="009C4CB1" w:rsidP="00CD363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B1" w:rsidRDefault="00380BEF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306,9</w:t>
            </w: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B1" w:rsidRPr="006A0B73" w:rsidRDefault="009C4CB1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0" w:type="dxa"/>
            <w:vMerge/>
            <w:vAlign w:val="center"/>
          </w:tcPr>
          <w:p w:rsidR="009C4CB1" w:rsidRPr="006A0B73" w:rsidRDefault="009C4CB1" w:rsidP="004D1F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0" w:type="dxa"/>
            <w:vMerge/>
            <w:vAlign w:val="center"/>
          </w:tcPr>
          <w:p w:rsidR="009C4CB1" w:rsidRPr="006A0B73" w:rsidRDefault="009C4CB1" w:rsidP="009C6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vMerge/>
            <w:shd w:val="clear" w:color="auto" w:fill="auto"/>
            <w:noWrap/>
            <w:vAlign w:val="center"/>
            <w:hideMark/>
          </w:tcPr>
          <w:p w:rsidR="009C4CB1" w:rsidRDefault="009C4CB1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C4CB1" w:rsidRPr="006A0B73" w:rsidTr="00C81758">
        <w:trPr>
          <w:trHeight w:val="291"/>
          <w:jc w:val="center"/>
        </w:trPr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9C4CB1" w:rsidRPr="006A0B73" w:rsidRDefault="009C4CB1" w:rsidP="00CD363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B1" w:rsidRDefault="00380BEF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259,78</w:t>
            </w: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CB1" w:rsidRPr="006A0B73" w:rsidRDefault="009C4CB1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0" w:type="dxa"/>
            <w:vMerge/>
            <w:vAlign w:val="center"/>
          </w:tcPr>
          <w:p w:rsidR="009C4CB1" w:rsidRPr="006A0B73" w:rsidRDefault="009C4CB1" w:rsidP="004D1F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0" w:type="dxa"/>
            <w:vMerge/>
            <w:vAlign w:val="center"/>
          </w:tcPr>
          <w:p w:rsidR="009C4CB1" w:rsidRPr="006A0B73" w:rsidRDefault="009C4CB1" w:rsidP="009C6F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vMerge/>
            <w:shd w:val="clear" w:color="auto" w:fill="auto"/>
            <w:noWrap/>
            <w:vAlign w:val="center"/>
            <w:hideMark/>
          </w:tcPr>
          <w:p w:rsidR="009C4CB1" w:rsidRDefault="009C4CB1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4D1F3A" w:rsidRPr="006A0B73" w:rsidTr="00C81758">
        <w:trPr>
          <w:trHeight w:val="50"/>
          <w:jc w:val="center"/>
        </w:trPr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4D1F3A" w:rsidRPr="006A0B73" w:rsidRDefault="004D1F3A" w:rsidP="00CD363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6A0B73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3A" w:rsidRPr="006A0B73" w:rsidRDefault="00380BEF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525,02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0" w:type="dxa"/>
            <w:vMerge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0" w:type="dxa"/>
            <w:vMerge/>
            <w:vAlign w:val="bottom"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vMerge/>
            <w:shd w:val="clear" w:color="auto" w:fill="auto"/>
            <w:noWrap/>
            <w:vAlign w:val="bottom"/>
            <w:hideMark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F3A" w:rsidRPr="006A0B73" w:rsidTr="00C81758">
        <w:trPr>
          <w:trHeight w:val="291"/>
          <w:jc w:val="center"/>
        </w:trPr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4D1F3A" w:rsidRPr="006A0B73" w:rsidRDefault="004D1F3A" w:rsidP="00CD363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6A0B73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3A" w:rsidRPr="006A0B73" w:rsidRDefault="00380BEF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295,86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0" w:type="dxa"/>
            <w:vMerge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0" w:type="dxa"/>
            <w:vMerge/>
            <w:vAlign w:val="bottom"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vMerge/>
            <w:shd w:val="clear" w:color="auto" w:fill="auto"/>
            <w:noWrap/>
            <w:vAlign w:val="bottom"/>
            <w:hideMark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F3A" w:rsidRPr="006A0B73" w:rsidTr="00C81758">
        <w:trPr>
          <w:trHeight w:val="291"/>
          <w:jc w:val="center"/>
        </w:trPr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4D1F3A" w:rsidRPr="006A0B73" w:rsidRDefault="004D1F3A" w:rsidP="00CD363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6A0B73"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3A" w:rsidRPr="006A0B73" w:rsidRDefault="00380BEF" w:rsidP="00AE6C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284,69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0" w:type="dxa"/>
            <w:vMerge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0" w:type="dxa"/>
            <w:vMerge/>
            <w:vAlign w:val="bottom"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vMerge/>
            <w:shd w:val="clear" w:color="auto" w:fill="auto"/>
            <w:noWrap/>
            <w:vAlign w:val="bottom"/>
            <w:hideMark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F3A" w:rsidRPr="006A0B73" w:rsidTr="00C81758">
        <w:trPr>
          <w:trHeight w:val="301"/>
          <w:jc w:val="center"/>
        </w:trPr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4D1F3A" w:rsidRPr="006A0B73" w:rsidRDefault="004D1F3A" w:rsidP="00CD363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6A0B73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3A" w:rsidRPr="006A0B73" w:rsidRDefault="00380BEF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162,4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0" w:type="dxa"/>
            <w:vMerge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0" w:type="dxa"/>
            <w:vMerge/>
            <w:vAlign w:val="bottom"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vMerge/>
            <w:shd w:val="clear" w:color="auto" w:fill="auto"/>
            <w:noWrap/>
            <w:vAlign w:val="bottom"/>
            <w:hideMark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F3A" w:rsidRPr="006A0B73" w:rsidTr="00C81758">
        <w:trPr>
          <w:trHeight w:val="301"/>
          <w:jc w:val="center"/>
        </w:trPr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4D1F3A" w:rsidRPr="006A0B73" w:rsidRDefault="004D1F3A" w:rsidP="00CD363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6A0B73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3A" w:rsidRPr="006A0B73" w:rsidRDefault="00380BEF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80,94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0" w:type="dxa"/>
            <w:vMerge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0" w:type="dxa"/>
            <w:vMerge/>
            <w:vAlign w:val="bottom"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vMerge/>
            <w:shd w:val="clear" w:color="auto" w:fill="auto"/>
            <w:noWrap/>
            <w:vAlign w:val="bottom"/>
            <w:hideMark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F3A" w:rsidRPr="006A0B73" w:rsidTr="00C81758">
        <w:trPr>
          <w:trHeight w:val="301"/>
          <w:jc w:val="center"/>
        </w:trPr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4D1F3A" w:rsidRPr="006A0B73" w:rsidRDefault="004D1F3A" w:rsidP="00CD36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B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3A" w:rsidRPr="006A0B73" w:rsidRDefault="00380BEF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2136,59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0" w:type="dxa"/>
            <w:vMerge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0" w:type="dxa"/>
            <w:vMerge/>
            <w:vAlign w:val="bottom"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vMerge/>
            <w:shd w:val="clear" w:color="auto" w:fill="auto"/>
            <w:noWrap/>
            <w:vAlign w:val="bottom"/>
            <w:hideMark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4D1F3A" w:rsidRPr="006A0B73" w:rsidTr="00C81758">
        <w:trPr>
          <w:trHeight w:val="301"/>
          <w:jc w:val="center"/>
        </w:trPr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4D1F3A" w:rsidRPr="006A0B73" w:rsidRDefault="004D1F3A" w:rsidP="00CD36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0B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Гкал на «Отопление»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3A" w:rsidRPr="006A0B73" w:rsidRDefault="009C4CB1" w:rsidP="004D1F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380B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889,22</w:t>
            </w: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0" w:type="dxa"/>
          </w:tcPr>
          <w:p w:rsidR="00AD244A" w:rsidRDefault="00AD244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1F3A" w:rsidRPr="00AD244A" w:rsidRDefault="004D1F3A" w:rsidP="00AD24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vAlign w:val="bottom"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4D1F3A" w:rsidRPr="006A0B73" w:rsidRDefault="004D1F3A" w:rsidP="00CD363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E34BE5" w:rsidRDefault="00E34BE5" w:rsidP="00AB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4BE5" w:rsidRPr="00E07B99" w:rsidRDefault="00E34BE5" w:rsidP="00E34BE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E07B99">
        <w:rPr>
          <w:rFonts w:ascii="Times New Roman" w:hAnsi="Times New Roman" w:cs="Times New Roman"/>
          <w:b/>
          <w:sz w:val="24"/>
          <w:szCs w:val="24"/>
        </w:rPr>
        <w:t>соответствии с постановлением проведем расчет:</w:t>
      </w:r>
    </w:p>
    <w:p w:rsidR="00E34BE5" w:rsidRPr="008022FA" w:rsidRDefault="00E34BE5" w:rsidP="00E34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FA">
        <w:rPr>
          <w:rFonts w:ascii="Times New Roman" w:hAnsi="Times New Roman" w:cs="Times New Roman"/>
          <w:sz w:val="24"/>
          <w:szCs w:val="24"/>
        </w:rPr>
        <w:t xml:space="preserve">За весь </w:t>
      </w:r>
      <w:r>
        <w:rPr>
          <w:rFonts w:ascii="Times New Roman" w:hAnsi="Times New Roman" w:cs="Times New Roman"/>
          <w:sz w:val="24"/>
          <w:szCs w:val="24"/>
        </w:rPr>
        <w:t>отопительный период начислено по среднемесячному объему потребления тепловой энергии за предыдущий год во всех помещениях</w:t>
      </w:r>
      <w:r w:rsidRPr="008022FA">
        <w:rPr>
          <w:rFonts w:ascii="Times New Roman" w:hAnsi="Times New Roman" w:cs="Times New Roman"/>
          <w:sz w:val="24"/>
          <w:szCs w:val="24"/>
        </w:rPr>
        <w:t>:</w:t>
      </w:r>
    </w:p>
    <w:p w:rsidR="00E34BE5" w:rsidRPr="00E34BE5" w:rsidRDefault="00E34BE5" w:rsidP="00E34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BE5">
        <w:rPr>
          <w:rFonts w:ascii="Times New Roman" w:hAnsi="Times New Roman" w:cs="Times New Roman"/>
          <w:b/>
          <w:sz w:val="24"/>
          <w:szCs w:val="24"/>
        </w:rPr>
        <w:t>0,018768 Гкал * 15531,15 м</w:t>
      </w:r>
      <w:proofErr w:type="gramStart"/>
      <w:r w:rsidRPr="00E34BE5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E34BE5">
        <w:rPr>
          <w:rFonts w:ascii="Times New Roman" w:hAnsi="Times New Roman" w:cs="Times New Roman"/>
          <w:b/>
          <w:sz w:val="24"/>
          <w:szCs w:val="24"/>
        </w:rPr>
        <w:t xml:space="preserve">*7,58мес. = 2209,483 Гкал </w:t>
      </w:r>
    </w:p>
    <w:p w:rsidR="003A2A2C" w:rsidRDefault="00E34BE5" w:rsidP="00E34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по среднемесячному объему потребления тепловой энергии за предыдущий год:</w:t>
      </w:r>
    </w:p>
    <w:p w:rsidR="00E34BE5" w:rsidRPr="008022FA" w:rsidRDefault="00E34BE5" w:rsidP="00E34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BE5">
        <w:rPr>
          <w:rFonts w:ascii="Times New Roman" w:hAnsi="Times New Roman" w:cs="Times New Roman"/>
          <w:b/>
          <w:sz w:val="24"/>
          <w:szCs w:val="24"/>
        </w:rPr>
        <w:t xml:space="preserve">2209,483 Гкал * 1579,18 </w:t>
      </w:r>
      <w:proofErr w:type="spellStart"/>
      <w:r w:rsidRPr="00E34BE5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Pr="00E34BE5">
        <w:rPr>
          <w:rFonts w:ascii="Times New Roman" w:hAnsi="Times New Roman" w:cs="Times New Roman"/>
          <w:b/>
          <w:sz w:val="24"/>
          <w:szCs w:val="24"/>
        </w:rPr>
        <w:t xml:space="preserve"> =3489172,57  руб</w:t>
      </w:r>
      <w:r w:rsidRPr="008022FA">
        <w:rPr>
          <w:rFonts w:ascii="Times New Roman" w:hAnsi="Times New Roman" w:cs="Times New Roman"/>
          <w:sz w:val="24"/>
          <w:szCs w:val="24"/>
        </w:rPr>
        <w:t>.</w:t>
      </w:r>
    </w:p>
    <w:p w:rsidR="00E34BE5" w:rsidRPr="008022FA" w:rsidRDefault="00E34BE5" w:rsidP="00E34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FA">
        <w:rPr>
          <w:rFonts w:ascii="Times New Roman" w:hAnsi="Times New Roman" w:cs="Times New Roman"/>
          <w:sz w:val="24"/>
          <w:szCs w:val="24"/>
        </w:rPr>
        <w:t>Плата по коллективному</w:t>
      </w:r>
      <w:r w:rsidR="003A2A2C">
        <w:rPr>
          <w:rFonts w:ascii="Times New Roman" w:hAnsi="Times New Roman" w:cs="Times New Roman"/>
          <w:sz w:val="24"/>
          <w:szCs w:val="24"/>
        </w:rPr>
        <w:t xml:space="preserve"> прибору учета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34BE5">
        <w:rPr>
          <w:rFonts w:ascii="Times New Roman" w:hAnsi="Times New Roman" w:cs="Times New Roman"/>
          <w:b/>
          <w:sz w:val="24"/>
          <w:szCs w:val="24"/>
        </w:rPr>
        <w:t>1889,22 Гкал * 1579,18 руб. = 2983418,44 руб.</w:t>
      </w:r>
    </w:p>
    <w:p w:rsidR="00E34BE5" w:rsidRDefault="00E34BE5" w:rsidP="00E34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FA">
        <w:rPr>
          <w:rFonts w:ascii="Times New Roman" w:hAnsi="Times New Roman" w:cs="Times New Roman"/>
          <w:sz w:val="24"/>
          <w:szCs w:val="24"/>
        </w:rPr>
        <w:t xml:space="preserve">Корректировка платы по услуге «Отопление» в соответствии с </w:t>
      </w:r>
      <w:proofErr w:type="spellStart"/>
      <w:r w:rsidRPr="008022F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022FA">
        <w:rPr>
          <w:rFonts w:ascii="Times New Roman" w:hAnsi="Times New Roman" w:cs="Times New Roman"/>
          <w:sz w:val="24"/>
          <w:szCs w:val="24"/>
        </w:rPr>
        <w:t>. 3 п. 3 приложения № 2 к Правилам № 307 по</w:t>
      </w:r>
      <w:r w:rsidR="003A2A2C">
        <w:rPr>
          <w:rFonts w:ascii="Times New Roman" w:hAnsi="Times New Roman" w:cs="Times New Roman"/>
          <w:sz w:val="24"/>
          <w:szCs w:val="24"/>
        </w:rPr>
        <w:t xml:space="preserve"> формуле № 10</w:t>
      </w:r>
      <w:r w:rsidRPr="008022FA">
        <w:rPr>
          <w:rFonts w:ascii="Times New Roman" w:hAnsi="Times New Roman" w:cs="Times New Roman"/>
          <w:sz w:val="24"/>
          <w:szCs w:val="24"/>
        </w:rPr>
        <w:t>:</w:t>
      </w:r>
    </w:p>
    <w:p w:rsidR="00E34BE5" w:rsidRPr="00E34BE5" w:rsidRDefault="00E34BE5" w:rsidP="00E34B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4BE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34BE5">
        <w:rPr>
          <w:rFonts w:ascii="Times New Roman" w:hAnsi="Times New Roman" w:cs="Times New Roman"/>
          <w:b/>
          <w:sz w:val="24"/>
          <w:szCs w:val="24"/>
        </w:rPr>
        <w:t xml:space="preserve"> = (2983418,44-3489172,57)/15531,15м2 = (-32,564) руб. на 1 м2</w:t>
      </w:r>
    </w:p>
    <w:p w:rsidR="00E34BE5" w:rsidRPr="00E34BE5" w:rsidRDefault="00E34BE5" w:rsidP="00E34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B7600">
        <w:rPr>
          <w:rFonts w:ascii="Times New Roman" w:hAnsi="Times New Roman" w:cs="Times New Roman"/>
          <w:b/>
          <w:sz w:val="24"/>
          <w:szCs w:val="24"/>
        </w:rPr>
        <w:t>ример рас</w:t>
      </w:r>
      <w:r>
        <w:rPr>
          <w:rFonts w:ascii="Times New Roman" w:hAnsi="Times New Roman" w:cs="Times New Roman"/>
          <w:b/>
          <w:sz w:val="24"/>
          <w:szCs w:val="24"/>
        </w:rPr>
        <w:t>чета для помещения площадью 57,2</w:t>
      </w:r>
      <w:r w:rsidRPr="00AB7600">
        <w:rPr>
          <w:rFonts w:ascii="Times New Roman" w:hAnsi="Times New Roman" w:cs="Times New Roman"/>
          <w:b/>
          <w:sz w:val="24"/>
          <w:szCs w:val="24"/>
        </w:rPr>
        <w:t xml:space="preserve"> м²: </w:t>
      </w:r>
    </w:p>
    <w:p w:rsidR="00E34BE5" w:rsidRPr="008022FA" w:rsidRDefault="00E34BE5" w:rsidP="00E34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57,2 * (-32,564</w:t>
      </w:r>
      <w:r w:rsidRPr="008022FA">
        <w:rPr>
          <w:rFonts w:ascii="Times New Roman" w:hAnsi="Times New Roman" w:cs="Times New Roman"/>
          <w:sz w:val="24"/>
          <w:szCs w:val="24"/>
        </w:rPr>
        <w:t xml:space="preserve"> руб.) = </w:t>
      </w:r>
      <w:r>
        <w:rPr>
          <w:rFonts w:ascii="Times New Roman" w:hAnsi="Times New Roman" w:cs="Times New Roman"/>
          <w:sz w:val="24"/>
          <w:szCs w:val="24"/>
        </w:rPr>
        <w:t>(-1862,65</w:t>
      </w:r>
      <w:r w:rsidRPr="008022FA">
        <w:rPr>
          <w:rFonts w:ascii="Times New Roman" w:hAnsi="Times New Roman" w:cs="Times New Roman"/>
          <w:sz w:val="24"/>
          <w:szCs w:val="24"/>
        </w:rPr>
        <w:t xml:space="preserve"> руб.)</w:t>
      </w:r>
    </w:p>
    <w:p w:rsidR="005335A9" w:rsidRPr="00B17BF5" w:rsidRDefault="00E34BE5" w:rsidP="00E34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35A9" w:rsidRPr="006A0B73">
        <w:rPr>
          <w:rFonts w:ascii="Times New Roman" w:hAnsi="Times New Roman" w:cs="Times New Roman"/>
          <w:sz w:val="24"/>
          <w:szCs w:val="24"/>
        </w:rPr>
        <w:t>Порядок начисления платы за коммунальные услуги с 01 сентября 2012 года регулируется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</w:t>
      </w:r>
      <w:r w:rsidR="005335A9" w:rsidRPr="00B17BF5">
        <w:rPr>
          <w:rFonts w:ascii="Times New Roman" w:hAnsi="Times New Roman" w:cs="Times New Roman"/>
          <w:sz w:val="24"/>
          <w:szCs w:val="24"/>
        </w:rPr>
        <w:t xml:space="preserve"> Федерации от 06.05.2011 года № 354, кроме услуги отопление. По</w:t>
      </w:r>
      <w:r w:rsidR="005335A9">
        <w:rPr>
          <w:rFonts w:ascii="Times New Roman" w:hAnsi="Times New Roman" w:cs="Times New Roman"/>
          <w:sz w:val="24"/>
          <w:szCs w:val="24"/>
        </w:rPr>
        <w:t>рядок начисления платы по слуге «Отопление»</w:t>
      </w:r>
      <w:r w:rsidR="005335A9" w:rsidRPr="00B17BF5">
        <w:rPr>
          <w:rFonts w:ascii="Times New Roman" w:hAnsi="Times New Roman" w:cs="Times New Roman"/>
          <w:sz w:val="24"/>
          <w:szCs w:val="24"/>
        </w:rPr>
        <w:t xml:space="preserve"> до 01 июля 2016 года на территории Свердловской области регулируется Правилами предоставления коммунальных услуг гражданам, утвержденными постановлением Правительства Российской Федерации от 23.05.2006 года № 307. </w:t>
      </w:r>
    </w:p>
    <w:p w:rsidR="005335A9" w:rsidRPr="00B17BF5" w:rsidRDefault="00E34BE5" w:rsidP="0053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35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35A9" w:rsidRPr="00B17BF5">
        <w:rPr>
          <w:rFonts w:ascii="Times New Roman" w:hAnsi="Times New Roman" w:cs="Times New Roman"/>
          <w:sz w:val="24"/>
          <w:szCs w:val="24"/>
        </w:rPr>
        <w:t xml:space="preserve">В силу положений п. 40 и п. 44 Правил № 354 потребитель коммунальных услуг в многоквартирном доме (за исключением коммунальной услуги по отоплению) вне зависимости от выбранного способа управления домом в составе платы за коммунальные услуги отдельно вносит </w:t>
      </w:r>
      <w:r w:rsidR="005335A9" w:rsidRPr="00B17BF5">
        <w:rPr>
          <w:rFonts w:ascii="Times New Roman" w:hAnsi="Times New Roman" w:cs="Times New Roman"/>
          <w:sz w:val="24"/>
          <w:szCs w:val="24"/>
        </w:rPr>
        <w:lastRenderedPageBreak/>
        <w:t>плату за коммунальные услуги, предоставленные потребителю в жилом или нежилом помещении, и плату за коммунальные услуги, потребляемые в процессе использования общего имущества в</w:t>
      </w:r>
      <w:proofErr w:type="gramEnd"/>
      <w:r w:rsidR="005335A9" w:rsidRPr="00B17BF5">
        <w:rPr>
          <w:rFonts w:ascii="Times New Roman" w:hAnsi="Times New Roman" w:cs="Times New Roman"/>
          <w:sz w:val="24"/>
          <w:szCs w:val="24"/>
        </w:rPr>
        <w:t xml:space="preserve"> многоквартирном </w:t>
      </w:r>
      <w:proofErr w:type="gramStart"/>
      <w:r w:rsidR="005335A9" w:rsidRPr="00B17BF5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="005335A9" w:rsidRPr="00B17BF5">
        <w:rPr>
          <w:rFonts w:ascii="Times New Roman" w:hAnsi="Times New Roman" w:cs="Times New Roman"/>
          <w:sz w:val="24"/>
          <w:szCs w:val="24"/>
        </w:rPr>
        <w:t>.</w:t>
      </w:r>
    </w:p>
    <w:p w:rsidR="005335A9" w:rsidRPr="00B17BF5" w:rsidRDefault="005335A9" w:rsidP="0053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B17BF5">
        <w:rPr>
          <w:rFonts w:ascii="Times New Roman" w:hAnsi="Times New Roman" w:cs="Times New Roman"/>
          <w:sz w:val="24"/>
          <w:szCs w:val="24"/>
        </w:rPr>
        <w:t>Потребитель коммунальной услуги по отоплению вносит плату за эту услугу совокупно без разделения на плату за потребляемые указанной услуги в жилом (нежилом) помещении и плату за ее потребление на общедомовые нужды.</w:t>
      </w:r>
      <w:proofErr w:type="gramEnd"/>
    </w:p>
    <w:p w:rsidR="005335A9" w:rsidRDefault="005335A9" w:rsidP="0053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17BF5">
        <w:rPr>
          <w:rFonts w:ascii="Times New Roman" w:hAnsi="Times New Roman" w:cs="Times New Roman"/>
          <w:sz w:val="24"/>
          <w:szCs w:val="24"/>
        </w:rPr>
        <w:t xml:space="preserve">Следовательно, начисление </w:t>
      </w:r>
      <w:proofErr w:type="gramStart"/>
      <w:r w:rsidRPr="00B17BF5">
        <w:rPr>
          <w:rFonts w:ascii="Times New Roman" w:hAnsi="Times New Roman" w:cs="Times New Roman"/>
          <w:sz w:val="24"/>
          <w:szCs w:val="24"/>
        </w:rPr>
        <w:t>платы</w:t>
      </w:r>
      <w:proofErr w:type="gramEnd"/>
      <w:r w:rsidRPr="00B17BF5">
        <w:rPr>
          <w:rFonts w:ascii="Times New Roman" w:hAnsi="Times New Roman" w:cs="Times New Roman"/>
          <w:sz w:val="24"/>
          <w:szCs w:val="24"/>
        </w:rPr>
        <w:t xml:space="preserve"> за услугу отопления исходя из показаний приборов учета, установленных в жилых помещениях (индивидуальных), а также начисление (или перерасчеты) платы за услугу отопления на общедомовые нужды не предусмотрен</w:t>
      </w:r>
      <w:r>
        <w:rPr>
          <w:rFonts w:ascii="Times New Roman" w:hAnsi="Times New Roman" w:cs="Times New Roman"/>
          <w:sz w:val="24"/>
          <w:szCs w:val="24"/>
        </w:rPr>
        <w:t>о действующим законодательством</w:t>
      </w:r>
      <w:r w:rsidRPr="00B17B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35A9" w:rsidRPr="007B5DA0" w:rsidRDefault="005335A9" w:rsidP="0053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7B5DA0">
        <w:rPr>
          <w:rFonts w:ascii="Times New Roman" w:hAnsi="Times New Roman" w:cs="Times New Roman"/>
          <w:sz w:val="24"/>
          <w:szCs w:val="24"/>
        </w:rPr>
        <w:t xml:space="preserve">В соответствии с положением </w:t>
      </w:r>
      <w:proofErr w:type="spellStart"/>
      <w:r w:rsidRPr="007B5DA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7B5DA0">
        <w:rPr>
          <w:rFonts w:ascii="Times New Roman" w:hAnsi="Times New Roman" w:cs="Times New Roman"/>
          <w:sz w:val="24"/>
          <w:szCs w:val="24"/>
        </w:rPr>
        <w:t>. «б» п. 23 Правил № 307, при оборудовании многоквартирного дома коллективным (</w:t>
      </w:r>
      <w:proofErr w:type="spellStart"/>
      <w:r w:rsidRPr="007B5DA0">
        <w:rPr>
          <w:rFonts w:ascii="Times New Roman" w:hAnsi="Times New Roman" w:cs="Times New Roman"/>
          <w:sz w:val="24"/>
          <w:szCs w:val="24"/>
        </w:rPr>
        <w:t>общедомовым</w:t>
      </w:r>
      <w:proofErr w:type="spellEnd"/>
      <w:r w:rsidRPr="007B5DA0">
        <w:rPr>
          <w:rFonts w:ascii="Times New Roman" w:hAnsi="Times New Roman" w:cs="Times New Roman"/>
          <w:sz w:val="24"/>
          <w:szCs w:val="24"/>
        </w:rPr>
        <w:t>) прибором учета и оборудовании частично или полностью индивидуальными и (или) общими (квартирными) приборами учета, ежемесячный размер платы за услугу отопление (руб.) в помещении, не оборудованном приборами учета, определяется по формуле № 1 (пп.2 п.3 приложения № 2 к Правилам № 307), а в жилом или</w:t>
      </w:r>
      <w:proofErr w:type="gramEnd"/>
      <w:r w:rsidRPr="007B5DA0">
        <w:rPr>
          <w:rFonts w:ascii="Times New Roman" w:hAnsi="Times New Roman" w:cs="Times New Roman"/>
          <w:sz w:val="24"/>
          <w:szCs w:val="24"/>
        </w:rPr>
        <w:t xml:space="preserve"> нежилом </w:t>
      </w:r>
      <w:proofErr w:type="gramStart"/>
      <w:r w:rsidRPr="007B5DA0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7B5DA0">
        <w:rPr>
          <w:rFonts w:ascii="Times New Roman" w:hAnsi="Times New Roman" w:cs="Times New Roman"/>
          <w:sz w:val="24"/>
          <w:szCs w:val="24"/>
        </w:rPr>
        <w:t xml:space="preserve"> многоквартирного дома, оборудованном приборами учета, определяется по формуле № 7, в соответствии с </w:t>
      </w:r>
      <w:proofErr w:type="spellStart"/>
      <w:r w:rsidRPr="007B5DA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7B5DA0">
        <w:rPr>
          <w:rFonts w:ascii="Times New Roman" w:hAnsi="Times New Roman" w:cs="Times New Roman"/>
          <w:sz w:val="24"/>
          <w:szCs w:val="24"/>
        </w:rPr>
        <w:t>. 2 п. 3 приложения № 2 к Правилам № 307:</w:t>
      </w:r>
    </w:p>
    <w:p w:rsidR="005335A9" w:rsidRPr="00BB29E7" w:rsidRDefault="005335A9" w:rsidP="00533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9E7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1189990" cy="275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9E7">
        <w:rPr>
          <w:rFonts w:ascii="Times New Roman" w:hAnsi="Times New Roman" w:cs="Times New Roman"/>
          <w:b/>
          <w:sz w:val="24"/>
          <w:szCs w:val="24"/>
        </w:rPr>
        <w:t>, (7)</w:t>
      </w:r>
    </w:p>
    <w:p w:rsidR="005335A9" w:rsidRPr="00BB29E7" w:rsidRDefault="005335A9" w:rsidP="00533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9E7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5335A9" w:rsidRPr="00BB29E7" w:rsidRDefault="005335A9" w:rsidP="00533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9E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81610" cy="27559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9E7">
        <w:rPr>
          <w:rFonts w:ascii="Times New Roman" w:hAnsi="Times New Roman" w:cs="Times New Roman"/>
          <w:bCs/>
          <w:sz w:val="24"/>
          <w:szCs w:val="24"/>
        </w:rPr>
        <w:t>- общая площадь i-того помещения (квартиры) в многоквартирном доме или общая площадь жилого дома (кв. м);</w:t>
      </w:r>
    </w:p>
    <w:p w:rsidR="005335A9" w:rsidRPr="00BB29E7" w:rsidRDefault="005335A9" w:rsidP="00533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9E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81610" cy="27559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9E7">
        <w:rPr>
          <w:rFonts w:ascii="Times New Roman" w:hAnsi="Times New Roman" w:cs="Times New Roman"/>
          <w:bCs/>
          <w:sz w:val="24"/>
          <w:szCs w:val="24"/>
        </w:rPr>
        <w:t>- среднемесячный объем потребления тепловой энергии на отопление за предыдущий год (Гкал/кв. м);</w:t>
      </w:r>
    </w:p>
    <w:p w:rsidR="005335A9" w:rsidRPr="00BB29E7" w:rsidRDefault="005335A9" w:rsidP="00533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9E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7805" cy="2755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9E7">
        <w:rPr>
          <w:rFonts w:ascii="Times New Roman" w:hAnsi="Times New Roman" w:cs="Times New Roman"/>
          <w:bCs/>
          <w:sz w:val="24"/>
          <w:szCs w:val="24"/>
        </w:rPr>
        <w:t>- тариф на тепловую энергию, установленный в соответствии с законодательством Российской Федерации (руб./Гкал).</w:t>
      </w:r>
    </w:p>
    <w:p w:rsidR="005335A9" w:rsidRPr="00BB29E7" w:rsidRDefault="005335A9" w:rsidP="00533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9E7">
        <w:rPr>
          <w:rFonts w:ascii="Times New Roman" w:hAnsi="Times New Roman" w:cs="Times New Roman"/>
          <w:sz w:val="24"/>
          <w:szCs w:val="24"/>
        </w:rPr>
        <w:t xml:space="preserve">При этом исполнитель производит 1 раз в год корректировку размера платы за отопление в соответствии с </w:t>
      </w:r>
      <w:proofErr w:type="spellStart"/>
      <w:r w:rsidRPr="00BB29E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B29E7">
        <w:rPr>
          <w:rFonts w:ascii="Times New Roman" w:hAnsi="Times New Roman" w:cs="Times New Roman"/>
          <w:sz w:val="24"/>
          <w:szCs w:val="24"/>
        </w:rPr>
        <w:t>. 3 п. 3 приложения № 2 к Правилам № 307 по формуле № 10.</w:t>
      </w:r>
    </w:p>
    <w:p w:rsidR="005335A9" w:rsidRPr="00BB29E7" w:rsidRDefault="005335A9" w:rsidP="005335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29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0" cy="4476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9E7">
        <w:rPr>
          <w:rFonts w:ascii="Times New Roman" w:hAnsi="Times New Roman" w:cs="Times New Roman"/>
          <w:sz w:val="24"/>
          <w:szCs w:val="24"/>
        </w:rPr>
        <w:t>, (10)</w:t>
      </w:r>
    </w:p>
    <w:p w:rsidR="005335A9" w:rsidRPr="00BB29E7" w:rsidRDefault="005335A9" w:rsidP="00533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9E7">
        <w:rPr>
          <w:rFonts w:ascii="Times New Roman" w:hAnsi="Times New Roman" w:cs="Times New Roman"/>
          <w:sz w:val="24"/>
          <w:szCs w:val="24"/>
        </w:rPr>
        <w:t>где:</w:t>
      </w:r>
    </w:p>
    <w:p w:rsidR="005335A9" w:rsidRPr="00BB29E7" w:rsidRDefault="005335A9" w:rsidP="00533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9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238125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9E7">
        <w:rPr>
          <w:rFonts w:ascii="Times New Roman" w:hAnsi="Times New Roman" w:cs="Times New Roman"/>
          <w:sz w:val="24"/>
          <w:szCs w:val="24"/>
        </w:rPr>
        <w:t>- размер платы за тепловую энергию, потребленную за истекший год во всех помещениях, определенный исходя из показаний коллективного (</w:t>
      </w:r>
      <w:proofErr w:type="spellStart"/>
      <w:r w:rsidRPr="00BB29E7"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 w:rsidRPr="00BB29E7">
        <w:rPr>
          <w:rFonts w:ascii="Times New Roman" w:hAnsi="Times New Roman" w:cs="Times New Roman"/>
          <w:sz w:val="24"/>
          <w:szCs w:val="24"/>
        </w:rPr>
        <w:t>) прибора учета и тарифа на тепловую энергию, утвержденного в соответствии с законодательством Российской Федерации (руб.);</w:t>
      </w:r>
    </w:p>
    <w:p w:rsidR="005335A9" w:rsidRPr="00BB29E7" w:rsidRDefault="005335A9" w:rsidP="00533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9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238125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9E7">
        <w:rPr>
          <w:rFonts w:ascii="Times New Roman" w:hAnsi="Times New Roman" w:cs="Times New Roman"/>
          <w:sz w:val="24"/>
          <w:szCs w:val="24"/>
        </w:rPr>
        <w:t>- размер платы за тепловую энергию, потребленную за расчетный период в помещениях, оборудованных приборами учета, определенный исходя из показаний</w:t>
      </w:r>
      <w:r w:rsidRPr="00025BBF">
        <w:rPr>
          <w:rFonts w:ascii="Times New Roman" w:hAnsi="Times New Roman" w:cs="Times New Roman"/>
          <w:sz w:val="24"/>
          <w:szCs w:val="24"/>
        </w:rPr>
        <w:t xml:space="preserve"> индивидуальных приборов учета, в коммунальных квартирах - общих (квартирных) </w:t>
      </w:r>
      <w:r w:rsidRPr="00BB29E7">
        <w:rPr>
          <w:rFonts w:ascii="Times New Roman" w:hAnsi="Times New Roman" w:cs="Times New Roman"/>
          <w:sz w:val="24"/>
          <w:szCs w:val="24"/>
        </w:rPr>
        <w:t>приборов учета и тарифа на тепловую энергию, утвержденного в соответствии с законодательством Российской Федерации (руб.);</w:t>
      </w:r>
    </w:p>
    <w:p w:rsidR="005335A9" w:rsidRPr="00BB29E7" w:rsidRDefault="005335A9" w:rsidP="00533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9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228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9E7">
        <w:rPr>
          <w:rFonts w:ascii="Times New Roman" w:hAnsi="Times New Roman" w:cs="Times New Roman"/>
          <w:sz w:val="24"/>
          <w:szCs w:val="24"/>
        </w:rPr>
        <w:t>- размер платы за тепловую энергию, потребленную за расчетный период в помещениях, не оборудованных приборами учета, определенный исходя из норматива потребления тепловой энергии и тарифа на тепловую энергию, утвержденного в соответствии с законодательством Российской Федерации (руб.);</w:t>
      </w:r>
    </w:p>
    <w:p w:rsidR="005335A9" w:rsidRPr="00BB29E7" w:rsidRDefault="005335A9" w:rsidP="00533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9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2286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9E7">
        <w:rPr>
          <w:rFonts w:ascii="Times New Roman" w:hAnsi="Times New Roman" w:cs="Times New Roman"/>
          <w:sz w:val="24"/>
          <w:szCs w:val="24"/>
        </w:rPr>
        <w:t>- общая площадь всех жилых и нежилых помещений в многоквартирном доме (кв. м);</w:t>
      </w:r>
    </w:p>
    <w:p w:rsidR="005335A9" w:rsidRDefault="005335A9" w:rsidP="005335A9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9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9E7">
        <w:rPr>
          <w:rFonts w:ascii="Times New Roman" w:hAnsi="Times New Roman" w:cs="Times New Roman"/>
          <w:sz w:val="24"/>
          <w:szCs w:val="24"/>
        </w:rPr>
        <w:t>- общая площадь i-того помещения (квартиры, нежилого помещения) в многоквартирном доме (кв. м);</w:t>
      </w:r>
    </w:p>
    <w:p w:rsidR="009D55DE" w:rsidRPr="009D158F" w:rsidRDefault="009D55DE" w:rsidP="009D55DE">
      <w:pPr>
        <w:pStyle w:val="ConsPlusNormal"/>
        <w:rPr>
          <w:rFonts w:ascii="Times New Roman" w:hAnsi="Times New Roman" w:cs="Times New Roman"/>
          <w:color w:val="4A442A" w:themeColor="background2" w:themeShade="40"/>
          <w:sz w:val="14"/>
          <w:szCs w:val="16"/>
        </w:rPr>
      </w:pPr>
      <w:r w:rsidRPr="009D158F">
        <w:rPr>
          <w:rFonts w:ascii="Times New Roman" w:hAnsi="Times New Roman" w:cs="Times New Roman"/>
          <w:b/>
          <w:color w:val="4A442A" w:themeColor="background2" w:themeShade="40"/>
          <w:sz w:val="14"/>
          <w:szCs w:val="16"/>
        </w:rPr>
        <w:t>Применение данных правил при расчете услуги «Отопление» проводится на основании проверки Департамента Государственного  жилищного и строительного надзора от 30.10.2015 г, и вынесенного предписания об устранении нарушений</w:t>
      </w:r>
      <w:r w:rsidRPr="009D158F">
        <w:rPr>
          <w:rFonts w:ascii="Times New Roman" w:hAnsi="Times New Roman" w:cs="Times New Roman"/>
          <w:b/>
          <w:color w:val="4A442A" w:themeColor="background2" w:themeShade="40"/>
          <w:sz w:val="18"/>
        </w:rPr>
        <w:t xml:space="preserve">,  </w:t>
      </w:r>
      <w:r w:rsidRPr="009D158F">
        <w:rPr>
          <w:rFonts w:ascii="Times New Roman" w:hAnsi="Times New Roman" w:cs="Times New Roman"/>
          <w:b/>
          <w:color w:val="4A442A" w:themeColor="background2" w:themeShade="40"/>
          <w:sz w:val="14"/>
          <w:szCs w:val="16"/>
        </w:rPr>
        <w:t>допущенных при расчетах</w:t>
      </w:r>
      <w:r w:rsidRPr="009D158F">
        <w:rPr>
          <w:rFonts w:ascii="Times New Roman" w:hAnsi="Times New Roman" w:cs="Times New Roman"/>
          <w:b/>
          <w:color w:val="4A442A" w:themeColor="background2" w:themeShade="40"/>
          <w:sz w:val="18"/>
        </w:rPr>
        <w:t xml:space="preserve"> </w:t>
      </w:r>
      <w:r w:rsidRPr="009D158F">
        <w:rPr>
          <w:rFonts w:ascii="Times New Roman" w:hAnsi="Times New Roman" w:cs="Times New Roman"/>
          <w:b/>
          <w:color w:val="4A442A" w:themeColor="background2" w:themeShade="40"/>
          <w:sz w:val="14"/>
          <w:szCs w:val="16"/>
        </w:rPr>
        <w:t>за отопительный</w:t>
      </w:r>
      <w:r w:rsidRPr="009D158F">
        <w:rPr>
          <w:rFonts w:ascii="Times New Roman" w:hAnsi="Times New Roman" w:cs="Times New Roman"/>
          <w:b/>
          <w:color w:val="4A442A" w:themeColor="background2" w:themeShade="40"/>
          <w:sz w:val="18"/>
        </w:rPr>
        <w:t xml:space="preserve"> </w:t>
      </w:r>
      <w:r w:rsidRPr="009D158F">
        <w:rPr>
          <w:rFonts w:ascii="Times New Roman" w:hAnsi="Times New Roman" w:cs="Times New Roman"/>
          <w:b/>
          <w:color w:val="4A442A" w:themeColor="background2" w:themeShade="40"/>
          <w:sz w:val="14"/>
          <w:szCs w:val="16"/>
        </w:rPr>
        <w:t xml:space="preserve">период с </w:t>
      </w:r>
      <w:proofErr w:type="spellStart"/>
      <w:proofErr w:type="gramStart"/>
      <w:r w:rsidRPr="009D158F">
        <w:rPr>
          <w:rFonts w:ascii="Times New Roman" w:hAnsi="Times New Roman" w:cs="Times New Roman"/>
          <w:b/>
          <w:color w:val="4A442A" w:themeColor="background2" w:themeShade="40"/>
          <w:sz w:val="14"/>
          <w:szCs w:val="16"/>
        </w:rPr>
        <w:t>января-май</w:t>
      </w:r>
      <w:proofErr w:type="spellEnd"/>
      <w:proofErr w:type="gramEnd"/>
      <w:r w:rsidRPr="009D158F">
        <w:rPr>
          <w:rFonts w:ascii="Times New Roman" w:hAnsi="Times New Roman" w:cs="Times New Roman"/>
          <w:b/>
          <w:color w:val="4A442A" w:themeColor="background2" w:themeShade="40"/>
          <w:sz w:val="14"/>
          <w:szCs w:val="16"/>
        </w:rPr>
        <w:t xml:space="preserve"> 2015 г</w:t>
      </w:r>
      <w:r w:rsidRPr="009D158F">
        <w:rPr>
          <w:rFonts w:ascii="Times New Roman" w:hAnsi="Times New Roman" w:cs="Times New Roman"/>
          <w:color w:val="4A442A" w:themeColor="background2" w:themeShade="40"/>
          <w:sz w:val="14"/>
          <w:szCs w:val="16"/>
        </w:rPr>
        <w:t>.</w:t>
      </w:r>
    </w:p>
    <w:p w:rsidR="00B42C5D" w:rsidRPr="009D158F" w:rsidRDefault="00E07B99" w:rsidP="00E34BE5">
      <w:pPr>
        <w:pStyle w:val="ConsPlusNormal"/>
        <w:ind w:firstLine="539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9D158F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  <w:t xml:space="preserve">   </w:t>
      </w:r>
    </w:p>
    <w:p w:rsidR="00181B3C" w:rsidRPr="008022FA" w:rsidRDefault="00181B3C" w:rsidP="00802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81B3C" w:rsidRPr="008022FA" w:rsidSect="00212D03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2"/>
  <w:characterSpacingControl w:val="doNotCompress"/>
  <w:compat>
    <w:useFELayout/>
  </w:compat>
  <w:rsids>
    <w:rsidRoot w:val="0066692A"/>
    <w:rsid w:val="00034F0A"/>
    <w:rsid w:val="000B7ABD"/>
    <w:rsid w:val="001054C7"/>
    <w:rsid w:val="001625E8"/>
    <w:rsid w:val="00181B3C"/>
    <w:rsid w:val="001C5AB0"/>
    <w:rsid w:val="001F06B4"/>
    <w:rsid w:val="00212D03"/>
    <w:rsid w:val="00287921"/>
    <w:rsid w:val="002F6348"/>
    <w:rsid w:val="003137F3"/>
    <w:rsid w:val="00313F18"/>
    <w:rsid w:val="00365E7D"/>
    <w:rsid w:val="00380BEF"/>
    <w:rsid w:val="003A2A2C"/>
    <w:rsid w:val="003D6F38"/>
    <w:rsid w:val="00410B8C"/>
    <w:rsid w:val="0041156E"/>
    <w:rsid w:val="00424D28"/>
    <w:rsid w:val="00470F85"/>
    <w:rsid w:val="004D1F3A"/>
    <w:rsid w:val="005335A9"/>
    <w:rsid w:val="00555AD4"/>
    <w:rsid w:val="005F0A01"/>
    <w:rsid w:val="0066692A"/>
    <w:rsid w:val="006A0B73"/>
    <w:rsid w:val="006E2F74"/>
    <w:rsid w:val="006F1A04"/>
    <w:rsid w:val="0078442C"/>
    <w:rsid w:val="007A0C78"/>
    <w:rsid w:val="007B5DA0"/>
    <w:rsid w:val="007E564C"/>
    <w:rsid w:val="008022FA"/>
    <w:rsid w:val="00847285"/>
    <w:rsid w:val="00885DE9"/>
    <w:rsid w:val="00937C88"/>
    <w:rsid w:val="00945048"/>
    <w:rsid w:val="009B1F48"/>
    <w:rsid w:val="009C4CB1"/>
    <w:rsid w:val="009C6F4A"/>
    <w:rsid w:val="009D158F"/>
    <w:rsid w:val="009D15AD"/>
    <w:rsid w:val="009D55DE"/>
    <w:rsid w:val="00A01E8C"/>
    <w:rsid w:val="00A90257"/>
    <w:rsid w:val="00AB7600"/>
    <w:rsid w:val="00AD244A"/>
    <w:rsid w:val="00AE351A"/>
    <w:rsid w:val="00AE6C7E"/>
    <w:rsid w:val="00B40D0B"/>
    <w:rsid w:val="00B42C5D"/>
    <w:rsid w:val="00B562F2"/>
    <w:rsid w:val="00B82B01"/>
    <w:rsid w:val="00B931D8"/>
    <w:rsid w:val="00BC090D"/>
    <w:rsid w:val="00C10816"/>
    <w:rsid w:val="00C3040E"/>
    <w:rsid w:val="00C651B0"/>
    <w:rsid w:val="00C81758"/>
    <w:rsid w:val="00D7076B"/>
    <w:rsid w:val="00D95F01"/>
    <w:rsid w:val="00E07B99"/>
    <w:rsid w:val="00E34BE5"/>
    <w:rsid w:val="00E76923"/>
    <w:rsid w:val="00FB5451"/>
    <w:rsid w:val="00FF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5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35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E57D6-47C6-4E6A-AB0F-C4D0DBC2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Sozvezdie</dc:creator>
  <cp:lastModifiedBy>Бух</cp:lastModifiedBy>
  <cp:revision>35</cp:revision>
  <cp:lastPrinted>2016-07-06T07:42:00Z</cp:lastPrinted>
  <dcterms:created xsi:type="dcterms:W3CDTF">2015-07-03T10:59:00Z</dcterms:created>
  <dcterms:modified xsi:type="dcterms:W3CDTF">2016-07-07T10:29:00Z</dcterms:modified>
</cp:coreProperties>
</file>